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DAF30" w14:textId="18A7331B" w:rsidR="00C20FCE" w:rsidRPr="00C20FCE" w:rsidRDefault="00C20FCE" w:rsidP="00C20FCE">
      <w:pPr>
        <w:rPr>
          <w:b/>
          <w:bCs/>
          <w:color w:val="00B050"/>
          <w:sz w:val="30"/>
          <w:szCs w:val="30"/>
        </w:rPr>
      </w:pPr>
      <w:r w:rsidRPr="00C20FCE">
        <w:rPr>
          <w:b/>
          <w:bCs/>
          <w:color w:val="C00000"/>
          <w:sz w:val="30"/>
          <w:szCs w:val="30"/>
        </w:rPr>
        <w:t xml:space="preserve">What's new in pulmonary and critical care </w:t>
      </w:r>
      <w:proofErr w:type="gramStart"/>
      <w:r w:rsidRPr="00C20FCE">
        <w:rPr>
          <w:b/>
          <w:bCs/>
          <w:color w:val="C00000"/>
          <w:sz w:val="30"/>
          <w:szCs w:val="30"/>
        </w:rPr>
        <w:t>medicine</w:t>
      </w:r>
      <w:r w:rsidRPr="00C20FCE">
        <w:rPr>
          <w:b/>
          <w:bCs/>
          <w:color w:val="C00000"/>
          <w:sz w:val="30"/>
          <w:szCs w:val="30"/>
        </w:rPr>
        <w:t xml:space="preserve">  </w:t>
      </w:r>
      <w:r w:rsidRPr="00F448A9">
        <w:rPr>
          <w:b/>
          <w:bCs/>
          <w:color w:val="00B050"/>
          <w:sz w:val="30"/>
          <w:szCs w:val="30"/>
        </w:rPr>
        <w:t>March</w:t>
      </w:r>
      <w:proofErr w:type="gramEnd"/>
      <w:r w:rsidRPr="00F448A9">
        <w:rPr>
          <w:b/>
          <w:bCs/>
          <w:color w:val="00B050"/>
          <w:sz w:val="30"/>
          <w:szCs w:val="30"/>
        </w:rPr>
        <w:t xml:space="preserve"> 2025</w:t>
      </w:r>
    </w:p>
    <w:p w14:paraId="09D19922" w14:textId="77777777" w:rsidR="00510CCB" w:rsidRDefault="00510CCB"/>
    <w:p w14:paraId="6ECFABEA" w14:textId="77777777" w:rsidR="00C20FCE" w:rsidRPr="00C20FCE" w:rsidRDefault="00C20FCE" w:rsidP="00C20FCE">
      <w:r w:rsidRPr="00C20FCE">
        <w:rPr>
          <w:b/>
          <w:bCs/>
        </w:rPr>
        <w:t>CRITICAL CARE</w:t>
      </w:r>
    </w:p>
    <w:p w14:paraId="300312EA" w14:textId="77777777" w:rsidR="00C20FCE" w:rsidRPr="00C20FCE" w:rsidRDefault="00C20FCE" w:rsidP="00C20FCE">
      <w:r w:rsidRPr="00C20FCE">
        <w:rPr>
          <w:b/>
          <w:bCs/>
        </w:rPr>
        <w:t>Society of Critical Care Medicine guidelines on critical care ultrasonography use (March 2025)</w:t>
      </w:r>
    </w:p>
    <w:p w14:paraId="00F96BDC" w14:textId="77777777" w:rsidR="00C20FCE" w:rsidRPr="00C20FCE" w:rsidRDefault="00C20FCE" w:rsidP="00C20FCE">
      <w:r w:rsidRPr="00C20FCE">
        <w:t>The Society of Critical Care Medicine (SCCM) recently updated its guidelines on the use of bedside critical care ultrasonography (CCUS) [</w:t>
      </w:r>
      <w:hyperlink r:id="rId5" w:history="1">
        <w:r w:rsidRPr="00C20FCE">
          <w:rPr>
            <w:rStyle w:val="Hyperlink"/>
          </w:rPr>
          <w:t>8</w:t>
        </w:r>
      </w:hyperlink>
      <w:r w:rsidRPr="00C20FCE">
        <w:t>]. The SCCM conditionally recommended CCUS use in patients with septic shock, acute respiratory failure, and acute cardiogenic shock as well as in patients with unclear volume status. It was unable to make a clear recommendation for CCUS use in patients undergoing cardiopulmonary resuscitation. We agree with these recommendations. (See </w:t>
      </w:r>
      <w:hyperlink r:id="rId6" w:anchor="H13030268" w:history="1">
        <w:r w:rsidRPr="00C20FCE">
          <w:rPr>
            <w:rStyle w:val="Hyperlink"/>
          </w:rPr>
          <w:t>"Indications for bedside ultrasonography in the critically ill adult patient", section on 'Introduction'</w:t>
        </w:r>
      </w:hyperlink>
      <w:r w:rsidRPr="00C20FCE">
        <w:t>.)</w:t>
      </w:r>
    </w:p>
    <w:p w14:paraId="7BAB8A05" w14:textId="77777777" w:rsidR="00C20FCE" w:rsidRPr="00C20FCE" w:rsidRDefault="00C20FCE" w:rsidP="00C20FCE">
      <w:r w:rsidRPr="00C20FCE">
        <w:rPr>
          <w:b/>
          <w:bCs/>
        </w:rPr>
        <w:t>Society of Critical Care Medicine guidelines for family/caregivers in the intensive care unit (March 2025)</w:t>
      </w:r>
    </w:p>
    <w:p w14:paraId="7EDADD5F" w14:textId="77777777" w:rsidR="00C20FCE" w:rsidRPr="00C20FCE" w:rsidRDefault="00C20FCE" w:rsidP="00C20FCE">
      <w:r w:rsidRPr="00C20FCE">
        <w:t>The Society of Critical Care Medicine (SCCM) issued updated guidelines on family/caregiver support in the intensive care unit (ICU) [</w:t>
      </w:r>
      <w:hyperlink r:id="rId7" w:history="1">
        <w:r w:rsidRPr="00C20FCE">
          <w:rPr>
            <w:rStyle w:val="Hyperlink"/>
          </w:rPr>
          <w:t>9</w:t>
        </w:r>
      </w:hyperlink>
      <w:r w:rsidRPr="00C20FCE">
        <w:t>]. Using a growing body of evidence, the SCCM issued a strong recommendation for liberal caregiver/family presence in the ICU. This includes family/caregiver presence on rounds and resuscitation, participation in care as well as the provision of dedicated space, ICU diaries, education tools, and psychological, spiritual, and bereavement support. The SCCM also made a conditional recommendation for communication support for both family/caregivers and clinicians. We agree with the recommendations. (See </w:t>
      </w:r>
      <w:hyperlink r:id="rId8" w:anchor="H1966693123" w:history="1">
        <w:r w:rsidRPr="00C20FCE">
          <w:rPr>
            <w:rStyle w:val="Hyperlink"/>
          </w:rPr>
          <w:t>"Post-intensive care syndrome (PICS): Treatment and prognosis", section on 'Post-intensive care syndrome-family'</w:t>
        </w:r>
      </w:hyperlink>
      <w:r w:rsidRPr="00C20FCE">
        <w:t>.)</w:t>
      </w:r>
    </w:p>
    <w:p w14:paraId="56A91F1A" w14:textId="77777777" w:rsidR="00C20FCE" w:rsidRPr="00C20FCE" w:rsidRDefault="00C20FCE" w:rsidP="00C20FCE">
      <w:r w:rsidRPr="00C20FCE">
        <w:rPr>
          <w:b/>
          <w:bCs/>
        </w:rPr>
        <w:t>LUNG CANCER</w:t>
      </w:r>
    </w:p>
    <w:p w14:paraId="311B0462" w14:textId="77777777" w:rsidR="00C20FCE" w:rsidRPr="00C20FCE" w:rsidRDefault="00C20FCE" w:rsidP="00C20FCE">
      <w:r w:rsidRPr="00C20FCE">
        <w:rPr>
          <w:b/>
          <w:bCs/>
        </w:rPr>
        <w:t>Tumor, Node, Metastasis staging for thoracic cancers (ninth version) (February 2025, Modified March 2025)</w:t>
      </w:r>
    </w:p>
    <w:p w14:paraId="7483F891" w14:textId="77777777" w:rsidR="00C20FCE" w:rsidRPr="00C20FCE" w:rsidRDefault="00C20FCE" w:rsidP="00C20FCE">
      <w:r w:rsidRPr="00C20FCE">
        <w:t>The American Joint Commission on Cancer has revised the Tumor, Node, Metastasis (TNM) staging system for a number of cancers [</w:t>
      </w:r>
      <w:hyperlink r:id="rId9" w:history="1">
        <w:r w:rsidRPr="00C20FCE">
          <w:rPr>
            <w:rStyle w:val="Hyperlink"/>
          </w:rPr>
          <w:t>25</w:t>
        </w:r>
      </w:hyperlink>
      <w:r w:rsidRPr="00C20FCE">
        <w:t>]. Notable revisions for thoracic cancers include changes to nodal staging in lung cancer (</w:t>
      </w:r>
      <w:hyperlink r:id="rId10" w:history="1">
        <w:r w:rsidRPr="00C20FCE">
          <w:rPr>
            <w:rStyle w:val="Hyperlink"/>
          </w:rPr>
          <w:t>table 1</w:t>
        </w:r>
      </w:hyperlink>
      <w:r w:rsidRPr="00C20FCE">
        <w:t>), such that there is now a division of N2 disease into N2a (tumor involvement of a single ipsilateral mediastinal nodal station or of the subcarinal nodal station) and N2b (tumor involvement of multiple ipsilateral mediastinal nodal stations). Revisions have also been made in the staging of pleural mesothelioma (</w:t>
      </w:r>
      <w:hyperlink r:id="rId11" w:history="1">
        <w:r w:rsidRPr="00C20FCE">
          <w:rPr>
            <w:rStyle w:val="Hyperlink"/>
          </w:rPr>
          <w:t>table 2</w:t>
        </w:r>
      </w:hyperlink>
      <w:r w:rsidRPr="00C20FCE">
        <w:t>) as well as thymic tumors (</w:t>
      </w:r>
      <w:hyperlink r:id="rId12" w:history="1">
        <w:r w:rsidRPr="00C20FCE">
          <w:rPr>
            <w:rStyle w:val="Hyperlink"/>
          </w:rPr>
          <w:t>table 3</w:t>
        </w:r>
      </w:hyperlink>
      <w:r w:rsidRPr="00C20FCE">
        <w:t>). (See </w:t>
      </w:r>
      <w:hyperlink r:id="rId13" w:anchor="H3320066539" w:history="1">
        <w:r w:rsidRPr="00C20FCE">
          <w:rPr>
            <w:rStyle w:val="Hyperlink"/>
          </w:rPr>
          <w:t xml:space="preserve">"Clinical presentation, diagnosis, and staging of thymoma and </w:t>
        </w:r>
        <w:r w:rsidRPr="00C20FCE">
          <w:rPr>
            <w:rStyle w:val="Hyperlink"/>
          </w:rPr>
          <w:lastRenderedPageBreak/>
          <w:t>thymic carcinoma", section on 'Staging system'</w:t>
        </w:r>
      </w:hyperlink>
      <w:r w:rsidRPr="00C20FCE">
        <w:t> and </w:t>
      </w:r>
      <w:hyperlink r:id="rId14" w:anchor="H552501" w:history="1">
        <w:r w:rsidRPr="00C20FCE">
          <w:rPr>
            <w:rStyle w:val="Hyperlink"/>
          </w:rPr>
          <w:t>"Overview of the initial evaluation, diagnosis, and staging of patients with suspected lung cancer", section on 'Staging'</w:t>
        </w:r>
      </w:hyperlink>
      <w:r w:rsidRPr="00C20FCE">
        <w:t>.)</w:t>
      </w:r>
    </w:p>
    <w:p w14:paraId="1ED7AFB9" w14:textId="77777777" w:rsidR="00C20FCE" w:rsidRDefault="00C20FCE"/>
    <w:sectPr w:rsidR="00C20F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F10E2"/>
    <w:multiLevelType w:val="multilevel"/>
    <w:tmpl w:val="B29E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88450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FCE"/>
    <w:rsid w:val="000B1565"/>
    <w:rsid w:val="00313F44"/>
    <w:rsid w:val="004B5628"/>
    <w:rsid w:val="00510CCB"/>
    <w:rsid w:val="008D0060"/>
    <w:rsid w:val="00AD0DBE"/>
    <w:rsid w:val="00C20FCE"/>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2545"/>
  <w15:chartTrackingRefBased/>
  <w15:docId w15:val="{C1D9F615-F437-4F6E-90DD-4FF4F886C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0F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20F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20FC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20FC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20FC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20F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0F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0F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0F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0FC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20FC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20FC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20FC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20FC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20F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0F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0F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0FCE"/>
    <w:rPr>
      <w:rFonts w:eastAsiaTheme="majorEastAsia" w:cstheme="majorBidi"/>
      <w:color w:val="272727" w:themeColor="text1" w:themeTint="D8"/>
    </w:rPr>
  </w:style>
  <w:style w:type="paragraph" w:styleId="Title">
    <w:name w:val="Title"/>
    <w:basedOn w:val="Normal"/>
    <w:next w:val="Normal"/>
    <w:link w:val="TitleChar"/>
    <w:uiPriority w:val="10"/>
    <w:qFormat/>
    <w:rsid w:val="00C20F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0F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0F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0F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0FCE"/>
    <w:pPr>
      <w:spacing w:before="160"/>
      <w:jc w:val="center"/>
    </w:pPr>
    <w:rPr>
      <w:i/>
      <w:iCs/>
      <w:color w:val="404040" w:themeColor="text1" w:themeTint="BF"/>
    </w:rPr>
  </w:style>
  <w:style w:type="character" w:customStyle="1" w:styleId="QuoteChar">
    <w:name w:val="Quote Char"/>
    <w:basedOn w:val="DefaultParagraphFont"/>
    <w:link w:val="Quote"/>
    <w:uiPriority w:val="29"/>
    <w:rsid w:val="00C20FCE"/>
    <w:rPr>
      <w:i/>
      <w:iCs/>
      <w:color w:val="404040" w:themeColor="text1" w:themeTint="BF"/>
    </w:rPr>
  </w:style>
  <w:style w:type="paragraph" w:styleId="ListParagraph">
    <w:name w:val="List Paragraph"/>
    <w:basedOn w:val="Normal"/>
    <w:uiPriority w:val="34"/>
    <w:qFormat/>
    <w:rsid w:val="00C20FCE"/>
    <w:pPr>
      <w:ind w:left="720"/>
      <w:contextualSpacing/>
    </w:pPr>
  </w:style>
  <w:style w:type="character" w:styleId="IntenseEmphasis">
    <w:name w:val="Intense Emphasis"/>
    <w:basedOn w:val="DefaultParagraphFont"/>
    <w:uiPriority w:val="21"/>
    <w:qFormat/>
    <w:rsid w:val="00C20FCE"/>
    <w:rPr>
      <w:i/>
      <w:iCs/>
      <w:color w:val="2F5496" w:themeColor="accent1" w:themeShade="BF"/>
    </w:rPr>
  </w:style>
  <w:style w:type="paragraph" w:styleId="IntenseQuote">
    <w:name w:val="Intense Quote"/>
    <w:basedOn w:val="Normal"/>
    <w:next w:val="Normal"/>
    <w:link w:val="IntenseQuoteChar"/>
    <w:uiPriority w:val="30"/>
    <w:qFormat/>
    <w:rsid w:val="00C20F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20FCE"/>
    <w:rPr>
      <w:i/>
      <w:iCs/>
      <w:color w:val="2F5496" w:themeColor="accent1" w:themeShade="BF"/>
    </w:rPr>
  </w:style>
  <w:style w:type="character" w:styleId="IntenseReference">
    <w:name w:val="Intense Reference"/>
    <w:basedOn w:val="DefaultParagraphFont"/>
    <w:uiPriority w:val="32"/>
    <w:qFormat/>
    <w:rsid w:val="00C20FCE"/>
    <w:rPr>
      <w:b/>
      <w:bCs/>
      <w:smallCaps/>
      <w:color w:val="2F5496" w:themeColor="accent1" w:themeShade="BF"/>
      <w:spacing w:val="5"/>
    </w:rPr>
  </w:style>
  <w:style w:type="character" w:styleId="Hyperlink">
    <w:name w:val="Hyperlink"/>
    <w:basedOn w:val="DefaultParagraphFont"/>
    <w:uiPriority w:val="99"/>
    <w:unhideWhenUsed/>
    <w:rsid w:val="00C20FCE"/>
    <w:rPr>
      <w:color w:val="0563C1" w:themeColor="hyperlink"/>
      <w:u w:val="single"/>
    </w:rPr>
  </w:style>
  <w:style w:type="character" w:styleId="UnresolvedMention">
    <w:name w:val="Unresolved Mention"/>
    <w:basedOn w:val="DefaultParagraphFont"/>
    <w:uiPriority w:val="99"/>
    <w:semiHidden/>
    <w:unhideWhenUsed/>
    <w:rsid w:val="00C20F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156091">
      <w:bodyDiv w:val="1"/>
      <w:marLeft w:val="0"/>
      <w:marRight w:val="0"/>
      <w:marTop w:val="0"/>
      <w:marBottom w:val="0"/>
      <w:divBdr>
        <w:top w:val="none" w:sz="0" w:space="0" w:color="auto"/>
        <w:left w:val="none" w:sz="0" w:space="0" w:color="auto"/>
        <w:bottom w:val="none" w:sz="0" w:space="0" w:color="auto"/>
        <w:right w:val="none" w:sz="0" w:space="0" w:color="auto"/>
      </w:divBdr>
      <w:divsChild>
        <w:div w:id="1400395782">
          <w:marLeft w:val="0"/>
          <w:marRight w:val="0"/>
          <w:marTop w:val="0"/>
          <w:marBottom w:val="0"/>
          <w:divBdr>
            <w:top w:val="none" w:sz="0" w:space="0" w:color="auto"/>
            <w:left w:val="none" w:sz="0" w:space="0" w:color="auto"/>
            <w:bottom w:val="single" w:sz="6" w:space="0" w:color="DADADA"/>
            <w:right w:val="none" w:sz="0" w:space="0" w:color="auto"/>
          </w:divBdr>
          <w:divsChild>
            <w:div w:id="1318807324">
              <w:marLeft w:val="0"/>
              <w:marRight w:val="3225"/>
              <w:marTop w:val="0"/>
              <w:marBottom w:val="0"/>
              <w:divBdr>
                <w:top w:val="none" w:sz="0" w:space="0" w:color="auto"/>
                <w:left w:val="none" w:sz="0" w:space="0" w:color="auto"/>
                <w:bottom w:val="none" w:sz="0" w:space="0" w:color="auto"/>
                <w:right w:val="none" w:sz="0" w:space="0" w:color="auto"/>
              </w:divBdr>
            </w:div>
          </w:divsChild>
        </w:div>
        <w:div w:id="927735798">
          <w:marLeft w:val="0"/>
          <w:marRight w:val="0"/>
          <w:marTop w:val="0"/>
          <w:marBottom w:val="0"/>
          <w:divBdr>
            <w:top w:val="none" w:sz="0" w:space="0" w:color="auto"/>
            <w:left w:val="none" w:sz="0" w:space="0" w:color="auto"/>
            <w:bottom w:val="none" w:sz="0" w:space="0" w:color="auto"/>
            <w:right w:val="none" w:sz="0" w:space="0" w:color="auto"/>
          </w:divBdr>
        </w:div>
      </w:divsChild>
    </w:div>
    <w:div w:id="1111127079">
      <w:bodyDiv w:val="1"/>
      <w:marLeft w:val="0"/>
      <w:marRight w:val="0"/>
      <w:marTop w:val="0"/>
      <w:marBottom w:val="0"/>
      <w:divBdr>
        <w:top w:val="none" w:sz="0" w:space="0" w:color="auto"/>
        <w:left w:val="none" w:sz="0" w:space="0" w:color="auto"/>
        <w:bottom w:val="none" w:sz="0" w:space="0" w:color="auto"/>
        <w:right w:val="none" w:sz="0" w:space="0" w:color="auto"/>
      </w:divBdr>
    </w:div>
    <w:div w:id="1171487183">
      <w:bodyDiv w:val="1"/>
      <w:marLeft w:val="0"/>
      <w:marRight w:val="0"/>
      <w:marTop w:val="0"/>
      <w:marBottom w:val="0"/>
      <w:divBdr>
        <w:top w:val="none" w:sz="0" w:space="0" w:color="auto"/>
        <w:left w:val="none" w:sz="0" w:space="0" w:color="auto"/>
        <w:bottom w:val="none" w:sz="0" w:space="0" w:color="auto"/>
        <w:right w:val="none" w:sz="0" w:space="0" w:color="auto"/>
      </w:divBdr>
    </w:div>
    <w:div w:id="1344820988">
      <w:bodyDiv w:val="1"/>
      <w:marLeft w:val="0"/>
      <w:marRight w:val="0"/>
      <w:marTop w:val="0"/>
      <w:marBottom w:val="0"/>
      <w:divBdr>
        <w:top w:val="none" w:sz="0" w:space="0" w:color="auto"/>
        <w:left w:val="none" w:sz="0" w:space="0" w:color="auto"/>
        <w:bottom w:val="none" w:sz="0" w:space="0" w:color="auto"/>
        <w:right w:val="none" w:sz="0" w:space="0" w:color="auto"/>
      </w:divBdr>
      <w:divsChild>
        <w:div w:id="1455632563">
          <w:marLeft w:val="0"/>
          <w:marRight w:val="0"/>
          <w:marTop w:val="0"/>
          <w:marBottom w:val="0"/>
          <w:divBdr>
            <w:top w:val="none" w:sz="0" w:space="0" w:color="auto"/>
            <w:left w:val="none" w:sz="0" w:space="0" w:color="auto"/>
            <w:bottom w:val="single" w:sz="6" w:space="0" w:color="DADADA"/>
            <w:right w:val="none" w:sz="0" w:space="0" w:color="auto"/>
          </w:divBdr>
          <w:divsChild>
            <w:div w:id="699089640">
              <w:marLeft w:val="0"/>
              <w:marRight w:val="3225"/>
              <w:marTop w:val="0"/>
              <w:marBottom w:val="0"/>
              <w:divBdr>
                <w:top w:val="none" w:sz="0" w:space="0" w:color="auto"/>
                <w:left w:val="none" w:sz="0" w:space="0" w:color="auto"/>
                <w:bottom w:val="none" w:sz="0" w:space="0" w:color="auto"/>
                <w:right w:val="none" w:sz="0" w:space="0" w:color="auto"/>
              </w:divBdr>
            </w:div>
          </w:divsChild>
        </w:div>
        <w:div w:id="1263495788">
          <w:marLeft w:val="0"/>
          <w:marRight w:val="0"/>
          <w:marTop w:val="0"/>
          <w:marBottom w:val="0"/>
          <w:divBdr>
            <w:top w:val="none" w:sz="0" w:space="0" w:color="auto"/>
            <w:left w:val="none" w:sz="0" w:space="0" w:color="auto"/>
            <w:bottom w:val="none" w:sz="0" w:space="0" w:color="auto"/>
            <w:right w:val="none" w:sz="0" w:space="0" w:color="auto"/>
          </w:divBdr>
        </w:div>
      </w:divsChild>
    </w:div>
    <w:div w:id="1688288667">
      <w:bodyDiv w:val="1"/>
      <w:marLeft w:val="0"/>
      <w:marRight w:val="0"/>
      <w:marTop w:val="0"/>
      <w:marBottom w:val="0"/>
      <w:divBdr>
        <w:top w:val="none" w:sz="0" w:space="0" w:color="auto"/>
        <w:left w:val="none" w:sz="0" w:space="0" w:color="auto"/>
        <w:bottom w:val="none" w:sz="0" w:space="0" w:color="auto"/>
        <w:right w:val="none" w:sz="0" w:space="0" w:color="auto"/>
      </w:divBdr>
    </w:div>
    <w:div w:id="203904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post-intensive-care-syndrome-pics-treatment-and-prognosis?sectionName=POST-INTENSIVE%20CARE%20SYNDROME-FAMILY&amp;topicRef=8355&amp;anchor=H1966693123&amp;source=see_link" TargetMode="External"/><Relationship Id="rId13" Type="http://schemas.openxmlformats.org/officeDocument/2006/relationships/hyperlink" Target="https://www4.utdos.ir/contents/clinical-presentation-diagnosis-and-staging-of-thymoma-and-thymic-carcinoma?sectionName=Staging%20system&amp;topicRef=8355&amp;anchor=H3320066539&amp;source=see_link" TargetMode="External"/><Relationship Id="rId3" Type="http://schemas.openxmlformats.org/officeDocument/2006/relationships/settings" Target="settings.xml"/><Relationship Id="rId7" Type="http://schemas.openxmlformats.org/officeDocument/2006/relationships/hyperlink" Target="https://www4.utdos.ir/contents/whats-new-in-pulmonary-and-critical-care-medicine/abstract/9" TargetMode="External"/><Relationship Id="rId12" Type="http://schemas.openxmlformats.org/officeDocument/2006/relationships/hyperlink" Target="https://www4.utdos.ir/contents/image?imageKey=ONC%2F147352&amp;topicKey=PULM%2F8355&amp;source=see_lin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4.utdos.ir/contents/indications-for-bedside-ultrasonography-in-the-critically-ill-adult-patient?sectionName=INTRODUCTION&amp;topicRef=8355&amp;anchor=H13030268&amp;source=see_link" TargetMode="External"/><Relationship Id="rId11" Type="http://schemas.openxmlformats.org/officeDocument/2006/relationships/hyperlink" Target="https://www4.utdos.ir/contents/image?imageKey=ONC%2F147435&amp;topicKey=PULM%2F8355&amp;source=see_link" TargetMode="External"/><Relationship Id="rId5" Type="http://schemas.openxmlformats.org/officeDocument/2006/relationships/hyperlink" Target="https://www4.utdos.ir/contents/whats-new-in-pulmonary-and-critical-care-medicine/abstract/8" TargetMode="External"/><Relationship Id="rId15" Type="http://schemas.openxmlformats.org/officeDocument/2006/relationships/fontTable" Target="fontTable.xml"/><Relationship Id="rId10" Type="http://schemas.openxmlformats.org/officeDocument/2006/relationships/hyperlink" Target="https://www4.utdos.ir/contents/image?imageKey=ONC%2F147341&amp;topicKey=PULM%2F8355&amp;source=see_link" TargetMode="External"/><Relationship Id="rId4" Type="http://schemas.openxmlformats.org/officeDocument/2006/relationships/webSettings" Target="webSettings.xml"/><Relationship Id="rId9" Type="http://schemas.openxmlformats.org/officeDocument/2006/relationships/hyperlink" Target="https://www4.utdos.ir/contents/whats-new-in-pulmonary-and-critical-care-medicine/abstract/25" TargetMode="External"/><Relationship Id="rId14" Type="http://schemas.openxmlformats.org/officeDocument/2006/relationships/hyperlink" Target="https://www4.utdos.ir/contents/overview-of-the-initial-evaluation-diagnosis-and-staging-of-patients-with-suspected-lung-cancer?sectionName=STAGING&amp;topicRef=8355&amp;anchor=H552501&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610</Words>
  <Characters>3477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1</cp:revision>
  <dcterms:created xsi:type="dcterms:W3CDTF">2025-03-30T06:42:00Z</dcterms:created>
  <dcterms:modified xsi:type="dcterms:W3CDTF">2025-03-30T06:44:00Z</dcterms:modified>
</cp:coreProperties>
</file>